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0"/>
        <w:jc w:val="center"/>
        <w:rPr>
          <w:rFonts w:ascii="微软雅黑" w:hAnsi="微软雅黑" w:eastAsia="微软雅黑" w:cs="微软雅黑"/>
          <w:i w:val="0"/>
          <w:iCs w:val="0"/>
          <w:caps w:val="0"/>
          <w:color w:val="333333"/>
          <w:spacing w:val="0"/>
          <w:sz w:val="32"/>
          <w:szCs w:val="32"/>
        </w:rPr>
      </w:pPr>
      <w:r>
        <w:rPr>
          <w:rFonts w:hint="eastAsia" w:ascii="微软雅黑" w:hAnsi="微软雅黑" w:eastAsia="微软雅黑" w:cs="微软雅黑"/>
          <w:i w:val="0"/>
          <w:iCs w:val="0"/>
          <w:caps w:val="0"/>
          <w:color w:val="333333"/>
          <w:spacing w:val="0"/>
          <w:sz w:val="32"/>
          <w:szCs w:val="32"/>
          <w:bdr w:val="none" w:color="auto" w:sz="0" w:space="0"/>
        </w:rPr>
        <w:t>国企改革三年行动专题之：干部综合能力提升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center"/>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主讲：王京刚博士</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0"/>
        <w:jc w:val="left"/>
        <w:rPr>
          <w:rFonts w:hint="eastAsia" w:ascii="微软雅黑" w:hAnsi="微软雅黑" w:eastAsia="微软雅黑" w:cs="微软雅黑"/>
          <w:i w:val="0"/>
          <w:iCs w:val="0"/>
          <w:caps w:val="0"/>
          <w:color w:val="333333"/>
          <w:spacing w:val="0"/>
        </w:rPr>
      </w:pPr>
      <w:r>
        <w:rPr>
          <w:rFonts w:hint="eastAsia" w:ascii="微软雅黑" w:hAnsi="微软雅黑" w:eastAsia="微软雅黑" w:cs="微软雅黑"/>
          <w:i w:val="0"/>
          <w:iCs w:val="0"/>
          <w:caps w:val="0"/>
          <w:color w:val="333333"/>
          <w:spacing w:val="0"/>
          <w:bdr w:val="none" w:color="auto" w:sz="0" w:space="0"/>
        </w:rPr>
        <w:t>第一部分任期制与契约化改革政策要求与实操方法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结合国企改革三年行动和国务院国资委“经理层任期制与契约化管理操作指引”的政策要求，针对广大国有企业在2020-2022年全面展开经理层任期制与契约化管理的迫切实操需要，本课程通过讲解政策+剖析案例+学习方法+实</w:t>
      </w:r>
      <w:bookmarkStart w:id="0" w:name="_GoBack"/>
      <w:bookmarkEnd w:id="0"/>
      <w:r>
        <w:rPr>
          <w:rFonts w:hint="eastAsia" w:ascii="微软雅黑" w:hAnsi="微软雅黑" w:eastAsia="微软雅黑" w:cs="微软雅黑"/>
          <w:i w:val="0"/>
          <w:iCs w:val="0"/>
          <w:caps w:val="0"/>
          <w:color w:val="333333"/>
          <w:spacing w:val="0"/>
          <w:sz w:val="22"/>
          <w:szCs w:val="22"/>
          <w:bdr w:val="none" w:color="auto" w:sz="0" w:space="0"/>
        </w:rPr>
        <w:t>战操练，助力企业深化改革。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课程大纲：</w:t>
      </w:r>
      <w:r>
        <w:rPr>
          <w:rFonts w:hint="eastAsia" w:ascii="微软雅黑" w:hAnsi="微软雅黑" w:eastAsia="微软雅黑" w:cs="微软雅黑"/>
          <w:i w:val="0"/>
          <w:iCs w:val="0"/>
          <w:caps w:val="0"/>
          <w:color w:val="333333"/>
          <w:spacing w:val="0"/>
          <w:sz w:val="22"/>
          <w:szCs w:val="22"/>
          <w:bdr w:val="none" w:color="auto" w:sz="0" w:space="0"/>
        </w:rPr>
        <w:t>（通常12小时，可根据情况调整6小时）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一、任期制契约化改革的战略问题（1小时）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1.任期制契约化改革的历史沿革与核心要义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2.任期制契约化改革的灵魂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3.任期制契约化改革的常见误区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4.任期制契约化改革实操的四梁八柱</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二、政策解析与实践问题综述（1小时）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1.立足政策一任期制契约化改革的政策梳理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2.势在必行一任期制契约化改革的最新要求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3.综合改革一任期制契约化改革与其它国企改革的融合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4.各显神通—一任期制契约化改革的实践案例和趋势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三、基本流程与文件体系（2小时）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1.任期制契约化改革的总体操作流程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2.方案＋制度＋契约，做改革，保运行，定契约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3.方案制度怎么批，契约文件怎么签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四、适用范围和人员选择（2小时）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1.集团化改革怎么开展一确定范围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2.开展任期制契约化改革的岗位一人员选择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3.不止于任期制契约化—一改革内外的管控与授权要素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4.模拟操演：集团化改革范围和人员选择模拟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五、任期制管理与契约化管理（2小时）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1.打好基础，建立长效机制，落实能上能下—聘任管理与干部管理常见问题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2.任期制管理的各项要求与细节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3.契约化管理的各项要求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4.模拟操演：多级审批环节情景模拟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六、指标体系与考核管理（2小时）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1.任期制契约化改革指标体系建设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2.考核指标的确定关键和技巧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3.考核管理办法与匹配机制细节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4.模拟操演：考核指标讨论会议情景再现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七、薪酬兑现与退出管理（2小时）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1.薪酬结构与薪酬制度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2.多种导向的薪酬的设计与激励约束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3.退出机制与退出管理的优化设计，确保无后顾之忧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4.模拟操演：绩效年薪兑现情景再现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0"/>
        <w:jc w:val="left"/>
        <w:rPr>
          <w:rFonts w:hint="eastAsia" w:ascii="微软雅黑" w:hAnsi="微软雅黑" w:eastAsia="微软雅黑" w:cs="微软雅黑"/>
          <w:i w:val="0"/>
          <w:iCs w:val="0"/>
          <w:caps w:val="0"/>
          <w:color w:val="333333"/>
          <w:spacing w:val="0"/>
        </w:rPr>
      </w:pPr>
      <w:r>
        <w:rPr>
          <w:rFonts w:hint="eastAsia" w:ascii="微软雅黑" w:hAnsi="微软雅黑" w:eastAsia="微软雅黑" w:cs="微软雅黑"/>
          <w:i w:val="0"/>
          <w:iCs w:val="0"/>
          <w:caps w:val="0"/>
          <w:color w:val="333333"/>
          <w:spacing w:val="0"/>
          <w:bdr w:val="none" w:color="auto" w:sz="0" w:space="0"/>
        </w:rPr>
        <w:t>第二部分 国企人才开发与干部管理体系优化完善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培育世界一流企业，必须建设世界一流的队伍;建设世界一流的队伍，必须建设一支基础扎实、中坚力量强健、高端人才引领的干部队伍。 大力推进素质培养、知事识人、选拔任用、从严管理、正向激励"五大体系"建设，积极推动忠诚干净担当干部队伍建设，是抓好干部队伍建设的核心关键。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课程大纲：</w:t>
      </w:r>
      <w:r>
        <w:rPr>
          <w:rFonts w:hint="eastAsia" w:ascii="微软雅黑" w:hAnsi="微软雅黑" w:eastAsia="微软雅黑" w:cs="微软雅黑"/>
          <w:i w:val="0"/>
          <w:iCs w:val="0"/>
          <w:caps w:val="0"/>
          <w:color w:val="333333"/>
          <w:spacing w:val="0"/>
          <w:sz w:val="22"/>
          <w:szCs w:val="22"/>
          <w:bdr w:val="none" w:color="auto" w:sz="0" w:space="0"/>
        </w:rPr>
        <w:t>（通常6小时，可根据情况调整3小时）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一、干部管理体系：干部管理体系的进化之路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1.干部是战略执行的第一要素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2.领先的干部管理体系是逼出来的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二、干部选拔：作为干部，应该承担什么样的使命与责任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1.干部群体普遍存在的问题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2.干部的使命与责任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3.干部使命与责任的落地机制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三、选拔程序：用什么样的标准和流程才选拔出能优秀的干部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1.企业缺乏干部标准的痛点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2.干部通用标准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3.差异化的干部岗位要求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4.干部选拔程序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案例：某企业如何选拔关键岗位干部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研讨:关键干部岗位画像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四、千部继任与成长：为每一级干部培养接班人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1、企业无干部梯队带来的窘迫</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2、继任计划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3、针对年轻高潜干部的蒙哥马利计划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4、干部之字形成长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5、干部的退出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案例：某企业关键干部岗位继任计划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研讨:关键干部岗位继任计划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五、干部培养与发展：干部角色认知与能力发展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1.企业在干部培养发展上的痛点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2.培养与发展的价值主张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3.干部培养发展的原则与框架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4.角色认知方法与培养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5.干部流动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1）标杆公司关键岗位角色认知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2）某企业项目经理角色认知及培养方案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六、干部的活力激发：激发干部活力的考核、赛马与末位机制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1.企业在干部使用管理上的痛点与问题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2.激发干部血性的管理逻辑：“以奋斗者为本”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3.干部的考核与激励</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4.干部末位管理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5.干部监管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案例：某企业末位淘汰案例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小研讨:干部末位淘汰怎么做、有什么风险与应对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七、干部管理组织与运作（AT）：用组织保障干部管理机制运作例行化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1.干部的配置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2.干部的流动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&gt;干部任期制&gt;干部成长路径&gt;公司指令性调配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3.干部的作风建设与干部监察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&gt;干部行权监察&gt;各级管理者坚持自我批判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4.干部机制的文化保障/文化价值观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5.AT组织的设置与运作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&gt;AT建设与职责&gt;AT运作与行权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小研讨：公司未来两年干部管理体系建设规划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0"/>
        <w:jc w:val="left"/>
        <w:rPr>
          <w:rFonts w:hint="eastAsia" w:ascii="微软雅黑" w:hAnsi="微软雅黑" w:eastAsia="微软雅黑" w:cs="微软雅黑"/>
          <w:i w:val="0"/>
          <w:iCs w:val="0"/>
          <w:caps w:val="0"/>
          <w:color w:val="333333"/>
          <w:spacing w:val="0"/>
        </w:rPr>
      </w:pPr>
      <w:r>
        <w:rPr>
          <w:rFonts w:hint="eastAsia" w:ascii="微软雅黑" w:hAnsi="微软雅黑" w:eastAsia="微软雅黑" w:cs="微软雅黑"/>
          <w:i w:val="0"/>
          <w:iCs w:val="0"/>
          <w:caps w:val="0"/>
          <w:color w:val="333333"/>
          <w:spacing w:val="0"/>
          <w:bdr w:val="none" w:color="auto" w:sz="0" w:space="0"/>
        </w:rPr>
        <w:t>第三部分 构建世界一流财务管理体系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关于中央企业加快建设世界一流财务管理体系的指导意见》（国资发财评规〔2022〕23号）提出了建立世界一流财务管理体系的时间表，加速推进世界一流的建设工作。要求：5年之内，中央企业整体财务管理水平明显跃上新台阶。10-15年，绝大多数央企建成世界一流财务管理体系，一批中央企业财务管理水平位居世界前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课程大纲：</w:t>
      </w:r>
      <w:r>
        <w:rPr>
          <w:rFonts w:hint="eastAsia" w:ascii="微软雅黑" w:hAnsi="微软雅黑" w:eastAsia="微软雅黑" w:cs="微软雅黑"/>
          <w:i w:val="0"/>
          <w:iCs w:val="0"/>
          <w:caps w:val="0"/>
          <w:color w:val="333333"/>
          <w:spacing w:val="0"/>
          <w:sz w:val="22"/>
          <w:szCs w:val="22"/>
          <w:bdr w:val="none" w:color="auto" w:sz="0" w:space="0"/>
        </w:rPr>
        <w:t>（通常6小时，可根据情况调整2-3小时）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一、世界一流财务管理体系的八大特征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1.先进的财务管理理念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2.完善的财务管理组织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3.健全的财务管理机制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4.全面预算管理体系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5.合规风控体系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6.财务数智体系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7.财务管理能力评价体系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8.人才队伍建设体系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二、如何推动成本管理与业务深度融合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1.现代化企业的财务运作模型——优化企业财务职能体系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面向总部的战略财务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面向一线的业务财务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面向财务共享服务中心的共享财务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 业务财务与财务共享双轮驱动——财务组织价值创造的有力保障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案例：某企业财经体系及财经组织如何有力支撑业务的高速增长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2.提升业务、财务、税务系统信息处理的效率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如何借助云平台来交换业务信息和财、税信息，以及内外部信息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如何把企业的人、财、物、产、供、销及相应的实物流、信息流、资金流通过软件系统紧密集成起来，提升内部运营效率和整体经营水平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3.实现业务部门、供应商、合伙人、客户、代理等内部外的深层次共享</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三、营造全员成本改善文化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 成本控制管理人员必备的四种思维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 提高全员成本意识的五个关键方法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 激励全员参与成本改善的六大要领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4.“六个一工程”塑造全员成本改善文化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四、目标成本的分析与控制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1.目标成本的分解</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2.VE（价值工程）：提高VE价值的选择方式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3.作业业绩——控制流程中非增值作业的方法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五、成本控制考核体系的建立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1．建立以成本为导向的企业组织系统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2．建立成本中心需要解决的关键问题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3．建立以成本为核心的绩效考核制度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4．成本考核数据的收集和分析应用步骤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六、成本控制活动的有效推行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1．健全预算、标准、实际成本分析制度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2．敏锐发现财务报表后的成本管理问题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3．有效利用财务手段帮助企业降本增效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4．成本改善项目推行的六个核心步骤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 营造全员降低成本的企业境教文化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0"/>
        <w:jc w:val="left"/>
        <w:rPr>
          <w:rFonts w:hint="eastAsia" w:ascii="微软雅黑" w:hAnsi="微软雅黑" w:eastAsia="微软雅黑" w:cs="微软雅黑"/>
          <w:i w:val="0"/>
          <w:iCs w:val="0"/>
          <w:caps w:val="0"/>
          <w:color w:val="333333"/>
          <w:spacing w:val="0"/>
        </w:rPr>
      </w:pPr>
      <w:r>
        <w:rPr>
          <w:rStyle w:val="7"/>
          <w:rFonts w:hint="eastAsia" w:ascii="微软雅黑" w:hAnsi="微软雅黑" w:eastAsia="微软雅黑" w:cs="微软雅黑"/>
          <w:b/>
          <w:bCs/>
          <w:i w:val="0"/>
          <w:iCs w:val="0"/>
          <w:caps w:val="0"/>
          <w:color w:val="333333"/>
          <w:spacing w:val="0"/>
          <w:sz w:val="24"/>
          <w:szCs w:val="24"/>
          <w:bdr w:val="none" w:color="auto" w:sz="0" w:space="0"/>
        </w:rPr>
        <w:t>第四部分 关于海南自贸港的战略机遇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自贸港建设是我国推动形成全面开放新格局和众多新对外开放举措中的战略性步骤，而建设海南自贸港这一重大举措不仅面临着千载难逢的历史机遇，同时也带来了挑战。结合世界上一些先进自贸港的发展经验，分析海南自贸港建设将面临的各种机遇与挑战，并提出相应的对策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课程大纲：</w:t>
      </w:r>
      <w:r>
        <w:rPr>
          <w:rFonts w:hint="eastAsia" w:ascii="微软雅黑" w:hAnsi="微软雅黑" w:eastAsia="微软雅黑" w:cs="微软雅黑"/>
          <w:i w:val="0"/>
          <w:iCs w:val="0"/>
          <w:caps w:val="0"/>
          <w:color w:val="333333"/>
          <w:spacing w:val="0"/>
          <w:sz w:val="22"/>
          <w:szCs w:val="22"/>
          <w:bdr w:val="none" w:color="auto" w:sz="0" w:space="0"/>
        </w:rPr>
        <w:t>（通常3小时，可根据情况调整为1-2小时）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一、海南对国家战略新格局的重要意义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1.海南在国家战略中的地位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2.海南自贸区的战略意义与思考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二、2025年自贸港封关以后的战略趋势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1.2025年自贸港封关以后运作模式和政策走向；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2.2025年自贸港封关以后市场态势和产业导向；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3.2025年海南自贸港封关后自贸港产业布局，全球航线网络布局及运作模式和改革走向，区域市场形势的探索和匹配的洋浦港枢纽港，梳理海南在全球产业链和集装箱供应链中的市场机会；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4.分析物流供应链短板及物流建设规划；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5.自贸港物流供应链趋势和海南封关后自贸产业集群，探索数字物流模式以及构建“航运----港口---物流-”三位一体的自贸物流供应链体系的意见和建议。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7"/>
          <w:rFonts w:hint="eastAsia" w:ascii="微软雅黑" w:hAnsi="微软雅黑" w:eastAsia="微软雅黑" w:cs="微软雅黑"/>
          <w:b/>
          <w:bCs/>
          <w:i w:val="0"/>
          <w:iCs w:val="0"/>
          <w:caps w:val="0"/>
          <w:color w:val="333333"/>
          <w:spacing w:val="0"/>
          <w:sz w:val="22"/>
          <w:szCs w:val="22"/>
          <w:bdr w:val="none" w:color="auto" w:sz="0" w:space="0"/>
        </w:rPr>
        <w:t>三、海南市场行业机会思考与分析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1.海南自贸港政策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2.海南冷链大仓库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3.海南智能电网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4.海南旅游零售业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5.创新医疗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6.绿色金融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（结束）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D24B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2022-03-24T06:18:38Z</dcterms:created>
  <dc:creator>shizi06</dc:creator>
  <cp:lastModifiedBy>蓉儿</cp:lastModifiedBy>
  <dcterms:modified xsi:type="dcterms:W3CDTF">2022-03-24T06:19:05Z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9B45C49A5B8345358C3FCE466AF62938</vt:lpwstr>
  </property>
</Properties>
</file>