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 xml:space="preserve">  《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财务精益化管理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能力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与业务成本核算水平提升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》提纲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color w:val="CC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第一讲  SAP标准功能应用（以QM质量管理为例）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kern w:val="24"/>
          <w:sz w:val="21"/>
          <w:szCs w:val="21"/>
          <w:vertAlign w:val="baseline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24"/>
          <w:sz w:val="21"/>
          <w:szCs w:val="21"/>
          <w:vertAlign w:val="baseline"/>
        </w:rPr>
        <w:t>SAP 质量管理模块概述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二、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</w:rPr>
        <w:t>SAP 质量管理主数据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三</w:t>
      </w:r>
      <w:r>
        <w:rPr>
          <w:rFonts w:hint="eastAsia" w:ascii="微软雅黑" w:hAnsi="微软雅黑" w:eastAsia="微软雅黑" w:cs="微软雅黑"/>
          <w:b w:val="0"/>
          <w:bCs/>
          <w:color w:val="CC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、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24"/>
          <w:sz w:val="21"/>
          <w:szCs w:val="21"/>
          <w:vertAlign w:val="baseline"/>
        </w:rPr>
        <w:t>质量检验的流程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四、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24"/>
          <w:sz w:val="21"/>
          <w:szCs w:val="21"/>
          <w:vertAlign w:val="baseline"/>
        </w:rPr>
        <w:t>各业务流程中的质量检验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kern w:val="24"/>
          <w:sz w:val="21"/>
          <w:szCs w:val="21"/>
          <w:vertAlign w:val="baseline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24"/>
          <w:sz w:val="21"/>
          <w:szCs w:val="21"/>
          <w:vertAlign w:val="baseline"/>
        </w:rPr>
        <w:t>检测设备管理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第二讲  多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auto"/>
        </w:rPr>
        <w:t>维精益管理体系变革下电力企业财务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auto"/>
          <w:lang w:val="en-US" w:eastAsia="zh-CN"/>
        </w:rPr>
        <w:t>转型升级第略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auto"/>
          <w:lang w:val="en-US" w:eastAsia="zh-CN"/>
        </w:rPr>
        <w:t>加强沟通协调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转变工作思维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sz w:val="21"/>
          <w:szCs w:val="21"/>
        </w:rPr>
        <w:t>拓展知识领域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sz w:val="21"/>
          <w:szCs w:val="21"/>
        </w:rPr>
        <w:t>提高沟通能力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五、压实工作责任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第三讲 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</w:rPr>
        <w:t>ERP系统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  <w:lang w:val="en-US" w:eastAsia="zh-CN"/>
        </w:rPr>
        <w:t>应用要点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ERP系统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概述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ERP采购管理系统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ERP库存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与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仓库管理系统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ERP销售管理系统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ERP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会计核算系统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Style w:val="11"/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（一）</w:t>
      </w:r>
      <w:r>
        <w:rPr>
          <w:rStyle w:val="11"/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ERP会计核算系统流程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Style w:val="11"/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11"/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</w:t>
      </w:r>
      <w:r>
        <w:rPr>
          <w:rStyle w:val="11"/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二）</w:t>
      </w:r>
      <w:r>
        <w:rPr>
          <w:rStyle w:val="11"/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ERP会计核算系统的特</w:t>
      </w:r>
      <w:r>
        <w:rPr>
          <w:rStyle w:val="11"/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  <w:lang w:val="en-US" w:eastAsia="zh-CN"/>
        </w:rPr>
        <w:t xml:space="preserve">第四讲 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</w:rPr>
        <w:t>ERP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系统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操作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color w:val="auto"/>
          <w:kern w:val="24"/>
          <w:sz w:val="21"/>
          <w:szCs w:val="21"/>
          <w:vertAlign w:val="baseline"/>
        </w:rPr>
        <w:t>流程图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color w:val="auto"/>
          <w:kern w:val="24"/>
          <w:sz w:val="21"/>
          <w:szCs w:val="21"/>
          <w:vertAlign w:val="baseline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auto"/>
          <w:kern w:val="24"/>
          <w:sz w:val="21"/>
          <w:szCs w:val="21"/>
          <w:vertAlign w:val="baseline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color w:val="auto"/>
          <w:kern w:val="24"/>
          <w:sz w:val="21"/>
          <w:szCs w:val="21"/>
          <w:vertAlign w:val="baseline"/>
        </w:rPr>
        <w:t>初始化流程图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速达G7-XP工业版业务流程图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销售系统—销售计划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销售计划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三、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销售系统—销售订单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销售订单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四、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生产系统—主生产计划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主生产计划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五、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生产系统—生产能力计算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生产能力计算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六、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生产系统—产品成本预算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产品成本预算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七、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生产系统—粗能力计算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粗能力计算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八、生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产系统—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MRPII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制造资源计划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运算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制造资源计划</w:t>
      </w:r>
    </w:p>
    <w:p>
      <w:pPr>
        <w:pStyle w:val="8"/>
        <w:keepNext w:val="0"/>
        <w:keepLines w:val="0"/>
        <w:widowControl/>
        <w:suppressLineNumbers w:val="0"/>
        <w:bidi w:val="0"/>
        <w:spacing w:before="0" w:beforeAutospacing="0" w:after="0" w:afterAutospacing="0"/>
        <w:jc w:val="both"/>
        <w:textAlignment w:val="baseline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制造资源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运算流程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三）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制造资源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运算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生产计划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四）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九、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制造资源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运算—毛需求-树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毛需求-树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十、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制造资源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运算—毛需求-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表与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毛需求-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表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十一、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制造资源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运算—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净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需求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一）净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需求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十二、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制造资源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运算—生产建议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生产建议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十三、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制造资源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运算—采购建议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采购建议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十四、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制造资源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运算—资金预算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资金预算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十五、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采购系统—采购计划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采购计划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十六、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采购系统—请购单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请购单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十七、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采购系统—采购订单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采购订单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十八、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采购系统—采购开单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采购开单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十九、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仓库系统—出入库单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（一）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出入库单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二十、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应收应付—应付款单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应付款单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二十一、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生产系统—加工单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加工单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二十一、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仓库系统—领料单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领料单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二十二、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生产系统—验收单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验收单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二十三、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生产系统—费用分摊单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9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费用分摊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9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二十四、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委托加工—委托加工单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费用分摊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9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二十五、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委托加工—加工领料单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加工领料单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二十六、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委托加工—加工验收单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加工验收单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二十七、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委托加工—加工费用单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加工费用单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二十八、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委托加工—加工费用分摊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加工费用分摊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二十九、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销售系统—销售开单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销售开单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三十、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应收应付—应收款单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6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应收款单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/>
          <w:bCs w:val="0"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业务指引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第五讲  PS</w:t>
      </w:r>
      <w:r>
        <w:rPr>
          <w:rFonts w:hint="eastAsia" w:ascii="微软雅黑" w:hAnsi="微软雅黑" w:eastAsia="微软雅黑" w:cs="微软雅黑"/>
          <w:b/>
          <w:bCs w:val="0"/>
          <w:color w:val="CC0000"/>
          <w:kern w:val="24"/>
          <w:sz w:val="21"/>
          <w:szCs w:val="21"/>
        </w:rPr>
        <w:t>项目系统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原理与项目管理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模块操作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7"/>
        </w:numPr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</w:rPr>
        <w:t>项目管理的原理</w:t>
      </w:r>
    </w:p>
    <w:p>
      <w:pPr>
        <w:keepNext w:val="0"/>
        <w:keepLines w:val="0"/>
        <w:pageBreakBefore w:val="0"/>
        <w:widowControl/>
        <w:suppressLineNumbers w:val="0"/>
        <w:wordWrap w:val="0"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547" w:right="0" w:rightChars="0" w:hanging="547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21"/>
          <w:szCs w:val="21"/>
          <w:vertAlign w:val="baseline"/>
          <w:lang w:val="en-US" w:eastAsia="zh-CN" w:bidi="ar-SA"/>
        </w:rPr>
        <w:t>基础概念</w:t>
      </w:r>
    </w:p>
    <w:p>
      <w:pPr>
        <w:keepNext w:val="0"/>
        <w:keepLines w:val="0"/>
        <w:pageBreakBefore w:val="0"/>
        <w:widowControl/>
        <w:suppressLineNumbers w:val="0"/>
        <w:wordWrap w:val="0"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547" w:right="0" w:rightChars="0" w:hanging="547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>（二）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21"/>
          <w:szCs w:val="21"/>
          <w:vertAlign w:val="baseline"/>
          <w:lang w:val="en-US" w:eastAsia="zh-CN" w:bidi="ar-SA"/>
        </w:rPr>
        <w:t>计划过程</w:t>
      </w:r>
    </w:p>
    <w:p>
      <w:pPr>
        <w:keepNext w:val="0"/>
        <w:keepLines w:val="0"/>
        <w:pageBreakBefore w:val="0"/>
        <w:widowControl/>
        <w:suppressLineNumbers w:val="0"/>
        <w:wordWrap w:val="0"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547" w:right="0" w:rightChars="0" w:hanging="547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21"/>
          <w:szCs w:val="21"/>
          <w:vertAlign w:val="baseline"/>
          <w:lang w:val="en-US" w:eastAsia="zh-CN" w:bidi="ar-SA"/>
        </w:rPr>
        <w:t>（三）执行过程</w:t>
      </w:r>
    </w:p>
    <w:p>
      <w:pPr>
        <w:keepNext w:val="0"/>
        <w:keepLines w:val="0"/>
        <w:pageBreakBefore w:val="0"/>
        <w:widowControl/>
        <w:suppressLineNumbers w:val="0"/>
        <w:wordWrap w:val="0"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547" w:right="0" w:rightChars="0" w:hanging="547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21"/>
          <w:szCs w:val="21"/>
          <w:vertAlign w:val="baseline"/>
          <w:lang w:val="en-US" w:eastAsia="zh-CN" w:bidi="ar-SA"/>
        </w:rPr>
        <w:t>（四）收尾</w:t>
      </w:r>
    </w:p>
    <w:p>
      <w:pPr>
        <w:pStyle w:val="8"/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二、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</w:rPr>
        <w:t>PS功能介绍</w:t>
      </w:r>
    </w:p>
    <w:p>
      <w:pPr>
        <w:pStyle w:val="8"/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PS简介</w:t>
      </w:r>
    </w:p>
    <w:p>
      <w:pPr>
        <w:keepNext w:val="0"/>
        <w:keepLines w:val="0"/>
        <w:pageBreakBefore w:val="0"/>
        <w:widowControl/>
        <w:suppressLineNumbers w:val="0"/>
        <w:wordWrap w:val="0"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547" w:right="0" w:rightChars="0" w:hanging="547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21"/>
          <w:szCs w:val="21"/>
          <w:vertAlign w:val="baseline"/>
          <w:lang w:val="en-US" w:eastAsia="zh-CN" w:bidi="ar-SA"/>
        </w:rPr>
        <w:t>计划</w:t>
      </w:r>
    </w:p>
    <w:p>
      <w:pPr>
        <w:keepNext w:val="0"/>
        <w:keepLines w:val="0"/>
        <w:pageBreakBefore w:val="0"/>
        <w:widowControl/>
        <w:suppressLineNumbers w:val="0"/>
        <w:wordWrap w:val="0"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547" w:right="0" w:rightChars="0" w:hanging="547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21"/>
          <w:szCs w:val="21"/>
          <w:vertAlign w:val="baseline"/>
          <w:lang w:val="en-US" w:eastAsia="zh-CN" w:bidi="ar-SA"/>
        </w:rPr>
        <w:t>（三）预算</w:t>
      </w:r>
    </w:p>
    <w:p>
      <w:pPr>
        <w:keepNext w:val="0"/>
        <w:keepLines w:val="0"/>
        <w:pageBreakBefore w:val="0"/>
        <w:widowControl/>
        <w:suppressLineNumbers w:val="0"/>
        <w:wordWrap w:val="0"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547" w:right="0" w:rightChars="0" w:hanging="547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21"/>
          <w:szCs w:val="21"/>
          <w:vertAlign w:val="baseline"/>
          <w:lang w:val="en-US" w:eastAsia="zh-CN" w:bidi="ar-SA"/>
        </w:rPr>
        <w:t>（四）PS文本和文档挂接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8"/>
        </w:numPr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kern w:val="24"/>
          <w:sz w:val="21"/>
          <w:szCs w:val="21"/>
          <w:vertAlign w:val="baseline"/>
        </w:rPr>
        <w:t>SAP-PS的优越性介绍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9"/>
        </w:numPr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/>
          <w:color w:val="333333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/>
          <w:color w:val="333333"/>
          <w:kern w:val="24"/>
          <w:sz w:val="21"/>
          <w:szCs w:val="21"/>
          <w:vertAlign w:val="baseline"/>
        </w:rPr>
        <w:t>有效提升管理水平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9"/>
        </w:numPr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/>
          <w:color w:val="333333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</w:rPr>
        <w:t>业务流程更加顺畅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9"/>
        </w:numPr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</w:rPr>
        <w:t>成本计划与预算控制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9"/>
        </w:numPr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</w:rPr>
        <w:t>企业整体效益提升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zh-CN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第六讲  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zh-CN" w:eastAsia="zh-CN"/>
        </w:rPr>
        <w:t>资产管理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模块操作</w:t>
      </w:r>
    </w:p>
    <w:p>
      <w:pPr>
        <w:pStyle w:val="6"/>
        <w:keepNext w:val="0"/>
        <w:keepLines w:val="0"/>
        <w:pageBreakBefore w:val="0"/>
        <w:tabs>
          <w:tab w:val="left" w:pos="4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aps/>
          <w:color w:val="auto"/>
          <w:lang w:eastAsia="zh-CN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caps/>
          <w:color w:val="auto"/>
          <w:lang w:eastAsia="zh-CN"/>
        </w:rPr>
        <w:instrText xml:space="preserve"> TOC \o "1-2" \h \z \u </w:instrText>
      </w:r>
      <w:r>
        <w:rPr>
          <w:rFonts w:hint="eastAsia" w:ascii="微软雅黑" w:hAnsi="微软雅黑" w:eastAsia="微软雅黑" w:cs="微软雅黑"/>
          <w:b/>
          <w:bCs/>
          <w:caps/>
          <w:color w:val="auto"/>
          <w:lang w:eastAsia="zh-CN"/>
        </w:rPr>
        <w:fldChar w:fldCharType="separate"/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"_Toc172698990"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一、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目的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6"/>
        <w:keepNext w:val="0"/>
        <w:keepLines w:val="0"/>
        <w:pageBreakBefore w:val="0"/>
        <w:tabs>
          <w:tab w:val="left" w:pos="4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"_Toc172698991"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二、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准备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6"/>
        <w:keepNext w:val="0"/>
        <w:keepLines w:val="0"/>
        <w:pageBreakBefore w:val="0"/>
        <w:tabs>
          <w:tab w:val="left" w:pos="4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"_Toc172698992"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三、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主数据维护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6"/>
        <w:keepNext w:val="0"/>
        <w:keepLines w:val="0"/>
        <w:pageBreakBefore w:val="0"/>
        <w:tabs>
          <w:tab w:val="left" w:pos="4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"_Toc172698994"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四、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处理固定资产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"_Toc172698995"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采购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"_Toc172698996"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二）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与应付帐会计集成的采购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"_Toc172698997"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三）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资产浏览器（资产值显示）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四）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"_Toc172698998"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含自动抵消分录的采购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"_Toc172698999"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五）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报废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"_Toc172699000"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六）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有收入和客户的报废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"_Toc172699001"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七）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有收入和无客户的报废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"_Toc172699002"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八）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因废弃而报废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"_Toc172699003"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九）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公司内部转帐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10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"_Toc172699004"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十）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资产浏览器（资产值显示）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10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"_Toc172699005"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十一）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资本化记帐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10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"_Toc172699006"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十二）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增计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10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"_Toc172699007"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十三）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计划外折旧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10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"_Toc172699008"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十四）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在建工程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6"/>
        <w:keepNext w:val="0"/>
        <w:keepLines w:val="0"/>
        <w:pageBreakBefore w:val="0"/>
        <w:tabs>
          <w:tab w:val="left" w:pos="4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"_Toc172699009"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五、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定期处理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"_Toc172699010"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折旧过帐运行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"_Toc172699011"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二）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重新计算值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"_Toc172699012"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三）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过帐采购和生产成本值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"_Toc172699013"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四）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折旧模拟/初级成本计划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"_Toc172699014"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五）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会计年度更改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tabs>
          <w:tab w:val="left" w:pos="800"/>
          <w:tab w:val="right" w:leader="dot" w:pos="8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HYPERLINK \l "_Toc172699015"</w:instrTex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六）</w:t>
      </w:r>
      <w:r>
        <w:rPr>
          <w:rStyle w:val="12"/>
          <w:rFonts w:hint="eastAsia" w:ascii="微软雅黑" w:hAnsi="微软雅黑" w:eastAsia="微软雅黑" w:cs="微软雅黑"/>
          <w:color w:val="auto"/>
          <w:sz w:val="21"/>
          <w:szCs w:val="21"/>
          <w:lang w:val="zh-CN" w:eastAsia="zh-CN"/>
        </w:rPr>
        <w:t>年末结算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i w:val="0"/>
          <w:caps w:val="0"/>
          <w:color w:val="CC0000"/>
          <w:spacing w:val="0"/>
          <w:sz w:val="21"/>
          <w:szCs w:val="21"/>
          <w:shd w:val="clear" w:color="auto" w:fill="FFFFFF"/>
        </w:rPr>
      </w:pPr>
      <w:r>
        <w:rPr>
          <w:rStyle w:val="12"/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第七讲 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</w:rPr>
        <w:t>SAP物料管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  <w:lang w:val="en-US" w:eastAsia="zh-CN"/>
        </w:rPr>
        <w:t>理（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</w:rPr>
        <w:t>MM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  <w:lang w:val="en-US" w:eastAsia="zh-CN"/>
        </w:rPr>
        <w:t>）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模块操作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一、</w:t>
      </w: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物料需求计划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二、</w:t>
      </w: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采购(PUR)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三、</w:t>
      </w: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库存管理(IM)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四、</w:t>
      </w: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仓库管理(WM)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五、</w:t>
      </w: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发票校验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Style w:val="11"/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六、</w:t>
      </w: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后勤信息系统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  <w:lang w:val="en-US" w:eastAsia="zh-CN"/>
        </w:rPr>
        <w:t xml:space="preserve">第八讲  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</w:rPr>
        <w:t>SAP应收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款项模块操作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客户账户组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作用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一次性客户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使用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客户发票的处理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收款及清账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收款同时清账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收款时不清账事后清账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收款的冲销与清账的重置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六、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 xml:space="preserve"> 应收票据的处理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应收票据的接收与清账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应收票据的贴现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应收票据的背书转让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七、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客户的其他特别总账业务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八、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定期处理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月末操作：外币评估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年初操作：客户余额结转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应收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款款项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模块设计的流程和方案要点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  <w:lang w:val="en-US" w:eastAsia="zh-CN"/>
        </w:rPr>
        <w:t xml:space="preserve">第九讲  </w:t>
      </w:r>
      <w:r>
        <w:rPr>
          <w:rFonts w:hint="eastAsia" w:ascii="微软雅黑" w:hAnsi="微软雅黑" w:eastAsia="微软雅黑" w:cs="微软雅黑"/>
          <w:b/>
          <w:bCs/>
          <w:color w:val="CC0000"/>
          <w:kern w:val="24"/>
          <w:sz w:val="21"/>
          <w:szCs w:val="21"/>
          <w:vertAlign w:val="baseline"/>
          <w:lang w:val="en-US" w:eastAsia="zh-CN" w:bidi="ar-SA"/>
        </w:rPr>
        <w:t>SAP管理会计模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块操作</w:t>
      </w:r>
    </w:p>
    <w:p>
      <w:pPr>
        <w:keepNext w:val="0"/>
        <w:keepLines w:val="0"/>
        <w:pageBreakBefore w:val="0"/>
        <w:widowControl/>
        <w:numPr>
          <w:ilvl w:val="0"/>
          <w:numId w:val="2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 w:bidi="ar-SA"/>
        </w:rPr>
        <w:t>SAP产品成本控制模块概览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产品成本会计组成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color w:val="000000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 w:bidi="ar-SA"/>
        </w:rPr>
        <w:t>（二）</w:t>
      </w:r>
      <w:r>
        <w:rPr>
          <w:rFonts w:hint="eastAsia" w:ascii="微软雅黑" w:hAnsi="微软雅黑" w:eastAsia="微软雅黑" w:cs="微软雅黑"/>
          <w:b w:val="0"/>
          <w:color w:val="000000"/>
          <w:kern w:val="24"/>
          <w:sz w:val="21"/>
          <w:szCs w:val="21"/>
          <w:vertAlign w:val="baseline"/>
        </w:rPr>
        <w:t>产品成本会计业务总览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color w:val="000000"/>
          <w:kern w:val="24"/>
          <w:sz w:val="21"/>
          <w:szCs w:val="21"/>
          <w:vertAlign w:val="baseline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000000"/>
          <w:kern w:val="24"/>
          <w:sz w:val="21"/>
          <w:szCs w:val="21"/>
          <w:vertAlign w:val="baseline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000000"/>
          <w:kern w:val="24"/>
          <w:sz w:val="21"/>
          <w:szCs w:val="21"/>
          <w:vertAlign w:val="baseline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标准成本核算体系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color w:val="000000"/>
          <w:kern w:val="24"/>
          <w:sz w:val="21"/>
          <w:szCs w:val="21"/>
          <w:vertAlign w:val="baseline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000000"/>
          <w:kern w:val="24"/>
          <w:sz w:val="21"/>
          <w:szCs w:val="21"/>
          <w:vertAlign w:val="baseline"/>
          <w:lang w:val="en-US" w:eastAsia="zh-CN"/>
        </w:rPr>
        <w:t>四）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产品成本估算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 w:bidi="ar-SA"/>
        </w:rPr>
        <w:t>二、产品成本计划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 w:bidi="ar-SA"/>
        </w:rPr>
        <w:t>（一）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</w:rPr>
        <w:t>计划成本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</w:rPr>
        <w:t>实际成本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b w:val="0"/>
          <w:color w:val="000000"/>
          <w:kern w:val="24"/>
          <w:sz w:val="21"/>
          <w:szCs w:val="21"/>
          <w:vertAlign w:val="baseline"/>
        </w:rPr>
        <w:t>成本分类计算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 w:bidi="ar-SA"/>
        </w:rPr>
        <w:t>三、成本对象控制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实际作业价格重估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二）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计算在产品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三）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在产品过账</w:t>
      </w:r>
    </w:p>
    <w:p>
      <w:pPr>
        <w:keepNext w:val="0"/>
        <w:keepLines w:val="0"/>
        <w:pageBreakBefore w:val="0"/>
        <w:widowControl/>
        <w:numPr>
          <w:ilvl w:val="0"/>
          <w:numId w:val="2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 w:bidi="ar-SA"/>
        </w:rPr>
        <w:t>实际成本核算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22"/>
        </w:numPr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</w:rPr>
        <w:t>同步成本核算概念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22"/>
        </w:numPr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成本核算方法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22"/>
        </w:numPr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成本结算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四）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计算差异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五）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差异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分析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六）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差异结算过账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七）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单层差异的记账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八）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多层差异的分配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/>
          <w:bCs w:val="0"/>
          <w:color w:val="CC0000"/>
          <w:kern w:val="24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/>
          <w:bCs w:val="0"/>
          <w:color w:val="CC0000"/>
          <w:kern w:val="24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第十讲  全面互动答疑与课程总结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/>
          <w:bCs w:val="0"/>
          <w:color w:val="0000FF"/>
          <w:kern w:val="24"/>
          <w:sz w:val="21"/>
          <w:szCs w:val="21"/>
          <w:shd w:val="clear" w:color="auto" w:fill="auto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/>
          <w:bCs w:val="0"/>
          <w:color w:val="0000FF"/>
          <w:kern w:val="24"/>
          <w:sz w:val="21"/>
          <w:szCs w:val="21"/>
          <w:shd w:val="clear" w:color="auto" w:fill="auto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时长：2天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/>
          <w:bCs w:val="0"/>
          <w:color w:val="0000FF"/>
          <w:kern w:val="24"/>
          <w:sz w:val="21"/>
          <w:szCs w:val="21"/>
          <w:shd w:val="clear" w:color="auto" w:fill="auto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/>
          <w:bCs w:val="0"/>
          <w:color w:val="0000FF"/>
          <w:kern w:val="24"/>
          <w:sz w:val="21"/>
          <w:szCs w:val="21"/>
          <w:shd w:val="clear" w:color="auto" w:fill="auto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/>
          <w:bCs w:val="0"/>
          <w:color w:val="0000FF"/>
          <w:kern w:val="24"/>
          <w:sz w:val="32"/>
          <w:szCs w:val="32"/>
          <w:shd w:val="clear" w:color="auto" w:fill="auto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b/>
          <w:bCs w:val="0"/>
          <w:color w:val="0000FF"/>
          <w:kern w:val="24"/>
          <w:sz w:val="21"/>
          <w:szCs w:val="21"/>
          <w:shd w:val="clear" w:color="auto" w:fill="auto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编制与讲解：</w:t>
      </w:r>
      <w:r>
        <w:rPr>
          <w:rFonts w:hint="eastAsia" w:ascii="微软雅黑" w:hAnsi="微软雅黑" w:eastAsia="微软雅黑" w:cs="微软雅黑"/>
          <w:b/>
          <w:bCs w:val="0"/>
          <w:color w:val="0000FF"/>
          <w:kern w:val="24"/>
          <w:sz w:val="32"/>
          <w:szCs w:val="32"/>
          <w:shd w:val="clear" w:color="auto" w:fill="auto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屠建清</w:t>
      </w:r>
    </w:p>
    <w:p>
      <w:pPr>
        <w:pStyle w:val="8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/>
          <w:bCs w:val="0"/>
          <w:color w:val="CC0000"/>
          <w:kern w:val="24"/>
          <w:sz w:val="32"/>
          <w:szCs w:val="32"/>
          <w:vertAlign w:val="baseline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/>
          <w:color w:val="auto"/>
          <w:kern w:val="24"/>
          <w:sz w:val="21"/>
          <w:szCs w:val="21"/>
          <w:vertAlign w:val="baseli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wordWrap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/>
          <w:color w:val="auto"/>
          <w:kern w:val="24"/>
          <w:sz w:val="21"/>
          <w:szCs w:val="21"/>
          <w:vertAlign w:val="baseli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outlineLvl w:val="9"/>
        <w:rPr>
          <w:rFonts w:hint="eastAsia" w:ascii="微软雅黑" w:hAnsi="微软雅黑" w:eastAsia="微软雅黑" w:cs="微软雅黑"/>
          <w:i w:val="0"/>
          <w:caps w:val="0"/>
          <w:color w:val="CC0000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CC0000"/>
          <w:spacing w:val="0"/>
          <w:sz w:val="21"/>
          <w:szCs w:val="21"/>
          <w:shd w:val="clear" w:color="auto" w:fill="FFFFFF"/>
        </w:rPr>
      </w:pPr>
    </w:p>
    <w:p>
      <w:pPr>
        <w:rPr>
          <w:rFonts w:hint="eastAsia"/>
        </w:rPr>
      </w:pPr>
    </w:p>
    <w:p>
      <w:pPr>
        <w:pStyle w:val="6"/>
        <w:keepNext w:val="0"/>
        <w:keepLines w:val="0"/>
        <w:pageBreakBefore w:val="0"/>
        <w:tabs>
          <w:tab w:val="left" w:pos="400"/>
          <w:tab w:val="right" w:leader="dot" w:pos="8567"/>
        </w:tabs>
        <w:wordWrap/>
        <w:topLinePunct w:val="0"/>
        <w:autoSpaceDE/>
        <w:autoSpaceDN/>
        <w:bidi w:val="0"/>
        <w:adjustRightInd/>
        <w:snapToGrid/>
        <w:spacing w:line="0" w:lineRule="atLeast"/>
        <w:ind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color w:val="auto"/>
          <w:kern w:val="2"/>
          <w:sz w:val="21"/>
          <w:szCs w:val="24"/>
          <w:lang w:val="en-US" w:eastAsia="zh-CN"/>
        </w:r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adjustRightInd/>
        <w:snapToGrid/>
        <w:spacing w:line="0" w:lineRule="atLeast"/>
        <w:ind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b/>
          <w:cap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aps/>
          <w:color w:val="auto"/>
          <w:lang w:eastAsia="zh-CN"/>
        </w:rPr>
        <w:fldChar w:fldCharType="end"/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zh-CN" w:eastAsia="zh-CN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 w:firstLine="0" w:firstLine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zh-CN" w:eastAsia="zh-CN"/>
        </w:rPr>
      </w:pPr>
    </w:p>
    <w:p>
      <w:pPr>
        <w:pageBreakBefore/>
        <w:rPr>
          <w:rFonts w:hint="eastAsia" w:ascii="微软雅黑" w:hAnsi="微软雅黑" w:eastAsia="微软雅黑" w:cs="微软雅黑"/>
          <w:b/>
          <w:color w:val="auto"/>
          <w:sz w:val="21"/>
          <w:szCs w:val="21"/>
          <w:lang w:val="zh-CN" w:eastAsia="zh-CN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/>
        <w:jc w:val="both"/>
        <w:textAlignment w:val="baseline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kern w:val="24"/>
          <w:sz w:val="21"/>
          <w:szCs w:val="21"/>
          <w:vertAlign w:val="baseline"/>
          <w:lang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CC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eastAsia="zh-CN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kern w:val="24"/>
          <w:sz w:val="21"/>
          <w:szCs w:val="21"/>
          <w:vertAlign w:val="baseli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CC0000"/>
          <w:sz w:val="21"/>
          <w:szCs w:val="21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FpCcj7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62254A"/>
    <w:multiLevelType w:val="singleLevel"/>
    <w:tmpl w:val="6262254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2623435"/>
    <w:multiLevelType w:val="singleLevel"/>
    <w:tmpl w:val="62623435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62623897"/>
    <w:multiLevelType w:val="singleLevel"/>
    <w:tmpl w:val="62623897"/>
    <w:lvl w:ilvl="0" w:tentative="0">
      <w:start w:val="1"/>
      <w:numFmt w:val="chineseCounting"/>
      <w:suff w:val="nothing"/>
      <w:lvlText w:val="（%1）"/>
      <w:lvlJc w:val="left"/>
    </w:lvl>
  </w:abstractNum>
  <w:abstractNum w:abstractNumId="3">
    <w:nsid w:val="626238CB"/>
    <w:multiLevelType w:val="singleLevel"/>
    <w:tmpl w:val="626238CB"/>
    <w:lvl w:ilvl="0" w:tentative="0">
      <w:start w:val="1"/>
      <w:numFmt w:val="chineseCounting"/>
      <w:suff w:val="nothing"/>
      <w:lvlText w:val="%1、"/>
      <w:lvlJc w:val="left"/>
    </w:lvl>
  </w:abstractNum>
  <w:abstractNum w:abstractNumId="4">
    <w:nsid w:val="626266B3"/>
    <w:multiLevelType w:val="singleLevel"/>
    <w:tmpl w:val="626266B3"/>
    <w:lvl w:ilvl="0" w:tentative="0">
      <w:start w:val="1"/>
      <w:numFmt w:val="chineseCounting"/>
      <w:suff w:val="nothing"/>
      <w:lvlText w:val="（%1）"/>
      <w:lvlJc w:val="left"/>
    </w:lvl>
  </w:abstractNum>
  <w:abstractNum w:abstractNumId="5">
    <w:nsid w:val="62626710"/>
    <w:multiLevelType w:val="singleLevel"/>
    <w:tmpl w:val="62626710"/>
    <w:lvl w:ilvl="0" w:tentative="0">
      <w:start w:val="1"/>
      <w:numFmt w:val="chineseCounting"/>
      <w:suff w:val="nothing"/>
      <w:lvlText w:val="（%1）"/>
      <w:lvlJc w:val="left"/>
    </w:lvl>
  </w:abstractNum>
  <w:abstractNum w:abstractNumId="6">
    <w:nsid w:val="62626770"/>
    <w:multiLevelType w:val="singleLevel"/>
    <w:tmpl w:val="62626770"/>
    <w:lvl w:ilvl="0" w:tentative="0">
      <w:start w:val="1"/>
      <w:numFmt w:val="chineseCounting"/>
      <w:suff w:val="nothing"/>
      <w:lvlText w:val="（%1）"/>
      <w:lvlJc w:val="left"/>
    </w:lvl>
  </w:abstractNum>
  <w:abstractNum w:abstractNumId="7">
    <w:nsid w:val="626267E6"/>
    <w:multiLevelType w:val="singleLevel"/>
    <w:tmpl w:val="626267E6"/>
    <w:lvl w:ilvl="0" w:tentative="0">
      <w:start w:val="1"/>
      <w:numFmt w:val="chineseCounting"/>
      <w:suff w:val="nothing"/>
      <w:lvlText w:val="（%1）"/>
      <w:lvlJc w:val="left"/>
    </w:lvl>
  </w:abstractNum>
  <w:abstractNum w:abstractNumId="8">
    <w:nsid w:val="62626836"/>
    <w:multiLevelType w:val="singleLevel"/>
    <w:tmpl w:val="62626836"/>
    <w:lvl w:ilvl="0" w:tentative="0">
      <w:start w:val="1"/>
      <w:numFmt w:val="chineseCounting"/>
      <w:suff w:val="nothing"/>
      <w:lvlText w:val="（%1）"/>
      <w:lvlJc w:val="left"/>
    </w:lvl>
  </w:abstractNum>
  <w:abstractNum w:abstractNumId="9">
    <w:nsid w:val="62626891"/>
    <w:multiLevelType w:val="singleLevel"/>
    <w:tmpl w:val="62626891"/>
    <w:lvl w:ilvl="0" w:tentative="0">
      <w:start w:val="1"/>
      <w:numFmt w:val="chineseCounting"/>
      <w:suff w:val="nothing"/>
      <w:lvlText w:val="（%1）"/>
      <w:lvlJc w:val="left"/>
    </w:lvl>
  </w:abstractNum>
  <w:abstractNum w:abstractNumId="10">
    <w:nsid w:val="6262693C"/>
    <w:multiLevelType w:val="singleLevel"/>
    <w:tmpl w:val="6262693C"/>
    <w:lvl w:ilvl="0" w:tentative="0">
      <w:start w:val="1"/>
      <w:numFmt w:val="chineseCounting"/>
      <w:suff w:val="nothing"/>
      <w:lvlText w:val="（%1）"/>
      <w:lvlJc w:val="left"/>
    </w:lvl>
  </w:abstractNum>
  <w:abstractNum w:abstractNumId="11">
    <w:nsid w:val="626269A4"/>
    <w:multiLevelType w:val="singleLevel"/>
    <w:tmpl w:val="626269A4"/>
    <w:lvl w:ilvl="0" w:tentative="0">
      <w:start w:val="1"/>
      <w:numFmt w:val="chineseCounting"/>
      <w:suff w:val="nothing"/>
      <w:lvlText w:val="（%1）"/>
      <w:lvlJc w:val="left"/>
    </w:lvl>
  </w:abstractNum>
  <w:abstractNum w:abstractNumId="12">
    <w:nsid w:val="626269F3"/>
    <w:multiLevelType w:val="singleLevel"/>
    <w:tmpl w:val="626269F3"/>
    <w:lvl w:ilvl="0" w:tentative="0">
      <w:start w:val="1"/>
      <w:numFmt w:val="chineseCounting"/>
      <w:suff w:val="nothing"/>
      <w:lvlText w:val="（%1）"/>
      <w:lvlJc w:val="left"/>
    </w:lvl>
  </w:abstractNum>
  <w:abstractNum w:abstractNumId="13">
    <w:nsid w:val="62626A58"/>
    <w:multiLevelType w:val="singleLevel"/>
    <w:tmpl w:val="62626A58"/>
    <w:lvl w:ilvl="0" w:tentative="0">
      <w:start w:val="1"/>
      <w:numFmt w:val="chineseCounting"/>
      <w:suff w:val="nothing"/>
      <w:lvlText w:val="（%1）"/>
      <w:lvlJc w:val="left"/>
    </w:lvl>
  </w:abstractNum>
  <w:abstractNum w:abstractNumId="14">
    <w:nsid w:val="62626ABD"/>
    <w:multiLevelType w:val="singleLevel"/>
    <w:tmpl w:val="62626ABD"/>
    <w:lvl w:ilvl="0" w:tentative="0">
      <w:start w:val="1"/>
      <w:numFmt w:val="chineseCounting"/>
      <w:suff w:val="nothing"/>
      <w:lvlText w:val="（%1）"/>
      <w:lvlJc w:val="left"/>
    </w:lvl>
  </w:abstractNum>
  <w:abstractNum w:abstractNumId="15">
    <w:nsid w:val="62626B17"/>
    <w:multiLevelType w:val="singleLevel"/>
    <w:tmpl w:val="62626B17"/>
    <w:lvl w:ilvl="0" w:tentative="0">
      <w:start w:val="1"/>
      <w:numFmt w:val="chineseCounting"/>
      <w:suff w:val="nothing"/>
      <w:lvlText w:val="（%1）"/>
      <w:lvlJc w:val="left"/>
    </w:lvl>
  </w:abstractNum>
  <w:abstractNum w:abstractNumId="16">
    <w:nsid w:val="62626C4F"/>
    <w:multiLevelType w:val="singleLevel"/>
    <w:tmpl w:val="62626C4F"/>
    <w:lvl w:ilvl="0" w:tentative="0">
      <w:start w:val="1"/>
      <w:numFmt w:val="chineseCounting"/>
      <w:suff w:val="nothing"/>
      <w:lvlText w:val="%1、"/>
      <w:lvlJc w:val="left"/>
    </w:lvl>
  </w:abstractNum>
  <w:abstractNum w:abstractNumId="17">
    <w:nsid w:val="62626EBE"/>
    <w:multiLevelType w:val="singleLevel"/>
    <w:tmpl w:val="62626EBE"/>
    <w:lvl w:ilvl="0" w:tentative="0">
      <w:start w:val="3"/>
      <w:numFmt w:val="chineseCounting"/>
      <w:suff w:val="nothing"/>
      <w:lvlText w:val="%1、"/>
      <w:lvlJc w:val="left"/>
    </w:lvl>
  </w:abstractNum>
  <w:abstractNum w:abstractNumId="18">
    <w:nsid w:val="62626F0D"/>
    <w:multiLevelType w:val="singleLevel"/>
    <w:tmpl w:val="62626F0D"/>
    <w:lvl w:ilvl="0" w:tentative="0">
      <w:start w:val="1"/>
      <w:numFmt w:val="chineseCounting"/>
      <w:suff w:val="nothing"/>
      <w:lvlText w:val="（%1）"/>
      <w:lvlJc w:val="left"/>
    </w:lvl>
  </w:abstractNum>
  <w:abstractNum w:abstractNumId="19">
    <w:nsid w:val="62628E19"/>
    <w:multiLevelType w:val="singleLevel"/>
    <w:tmpl w:val="62628E19"/>
    <w:lvl w:ilvl="0" w:tentative="0">
      <w:start w:val="1"/>
      <w:numFmt w:val="chineseCounting"/>
      <w:suff w:val="nothing"/>
      <w:lvlText w:val="%1、"/>
      <w:lvlJc w:val="left"/>
    </w:lvl>
  </w:abstractNum>
  <w:abstractNum w:abstractNumId="20">
    <w:nsid w:val="6262903F"/>
    <w:multiLevelType w:val="singleLevel"/>
    <w:tmpl w:val="6262903F"/>
    <w:lvl w:ilvl="0" w:tentative="0">
      <w:start w:val="4"/>
      <w:numFmt w:val="chineseCounting"/>
      <w:suff w:val="nothing"/>
      <w:lvlText w:val="%1、"/>
      <w:lvlJc w:val="left"/>
    </w:lvl>
  </w:abstractNum>
  <w:abstractNum w:abstractNumId="21">
    <w:nsid w:val="62629088"/>
    <w:multiLevelType w:val="singleLevel"/>
    <w:tmpl w:val="62629088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CCE4EED"/>
    <w:rsid w:val="1E53056C"/>
    <w:rsid w:val="1E7003CF"/>
    <w:rsid w:val="213805F1"/>
    <w:rsid w:val="339D0086"/>
    <w:rsid w:val="3A93221B"/>
    <w:rsid w:val="425A2591"/>
    <w:rsid w:val="4914193F"/>
    <w:rsid w:val="4E93239E"/>
    <w:rsid w:val="55E44F99"/>
    <w:rsid w:val="66BD6286"/>
    <w:rsid w:val="6DD66F7D"/>
    <w:rsid w:val="74391C81"/>
    <w:rsid w:val="77F24DB5"/>
    <w:rsid w:val="7F7D6F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-SA"/>
    </w:rPr>
  </w:style>
  <w:style w:type="character" w:default="1" w:styleId="10">
    <w:name w:val="Default Paragraph Font"/>
    <w:uiPriority w:val="0"/>
  </w:style>
  <w:style w:type="table" w:default="1" w:styleId="9">
    <w:name w:val="Normal Table"/>
    <w:unhideWhenUsed/>
    <w:uiPriority w:val="99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toc 1"/>
    <w:basedOn w:val="1"/>
    <w:next w:val="1"/>
    <w:unhideWhenUsed/>
    <w:uiPriority w:val="39"/>
  </w:style>
  <w:style w:type="paragraph" w:styleId="7">
    <w:name w:val="toc 2"/>
    <w:basedOn w:val="1"/>
    <w:next w:val="1"/>
    <w:unhideWhenUsed/>
    <w:uiPriority w:val="39"/>
    <w:pPr>
      <w:ind w:left="200"/>
    </w:pPr>
  </w:style>
  <w:style w:type="paragraph" w:styleId="8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unhideWhenUsed/>
    <w:uiPriority w:val="99"/>
    <w:rPr>
      <w:color w:val="0000FF"/>
      <w:u w:val="single"/>
    </w:rPr>
  </w:style>
  <w:style w:type="paragraph" w:customStyle="1" w:styleId="13">
    <w:name w:val="Cover Page Title"/>
    <w:uiPriority w:val="0"/>
    <w:pPr>
      <w:spacing w:before="5400" w:after="180"/>
      <w:jc w:val="both"/>
    </w:pPr>
    <w:rPr>
      <w:b/>
      <w:sz w:val="44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2045</Words>
  <Characters>2106</Characters>
  <Lines>0</Lines>
  <Paragraphs>0</Paragraphs>
  <TotalTime>0</TotalTime>
  <ScaleCrop>false</ScaleCrop>
  <LinksUpToDate>false</LinksUpToDate>
  <CharactersWithSpaces>2173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2022-04-22T00:14:21Z</dcterms:created>
  <dc:creator>Lenovo</dc:creator>
  <cp:lastModifiedBy>蓉儿</cp:lastModifiedBy>
  <dcterms:modified xsi:type="dcterms:W3CDTF">2022-05-06T09:27:02Z</dcterms:modified>
  <dc:title>《财务精益化管理能力与前端业务成本核算水平提升》提纲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2050741E43834A5BBADAEA48E7ED13CB</vt:lpwstr>
  </property>
</Properties>
</file>